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0" w:type="dxa"/>
        <w:tblInd w:w="20" w:type="dxa"/>
        <w:tblCellMar>
          <w:top w:w="34" w:type="dxa"/>
          <w:left w:w="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671"/>
        <w:gridCol w:w="3420"/>
        <w:gridCol w:w="101"/>
        <w:gridCol w:w="1422"/>
        <w:gridCol w:w="1256"/>
      </w:tblGrid>
      <w:tr w:rsidR="00E9663E">
        <w:trPr>
          <w:trHeight w:val="276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Nazwa i adres jednostki sprawozdawczej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E9663E"/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Adresat</w:t>
            </w:r>
          </w:p>
        </w:tc>
      </w:tr>
      <w:tr w:rsidR="00E9663E">
        <w:trPr>
          <w:trHeight w:val="274"/>
        </w:trPr>
        <w:tc>
          <w:tcPr>
            <w:tcW w:w="3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Zespół Szkolno-Przedszkolny nr 2</w:t>
            </w:r>
          </w:p>
        </w:tc>
        <w:tc>
          <w:tcPr>
            <w:tcW w:w="35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Rachunek zysków i strat jednostki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Prezydent Miasta Łodzi</w:t>
            </w:r>
          </w:p>
        </w:tc>
      </w:tr>
      <w:tr w:rsidR="00E9663E">
        <w:trPr>
          <w:trHeight w:val="278"/>
        </w:trPr>
        <w:tc>
          <w:tcPr>
            <w:tcW w:w="3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Jugosłowiańska 2</w:t>
            </w:r>
          </w:p>
        </w:tc>
        <w:tc>
          <w:tcPr>
            <w:tcW w:w="35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sporządzony na dzień 31.12.2018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90-926 Łódź</w:t>
            </w:r>
          </w:p>
        </w:tc>
      </w:tr>
      <w:tr w:rsidR="00E9663E">
        <w:trPr>
          <w:trHeight w:val="548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92-720 Łódź</w:t>
            </w:r>
          </w:p>
        </w:tc>
        <w:tc>
          <w:tcPr>
            <w:tcW w:w="352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18"/>
              </w:rPr>
              <w:t>Wariant porównawczy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ul. Piotrkowska 104</w:t>
            </w:r>
          </w:p>
        </w:tc>
      </w:tr>
      <w:tr w:rsidR="00E9663E">
        <w:trPr>
          <w:trHeight w:val="557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45"/>
              <w:ind w:left="2"/>
            </w:pPr>
            <w:r>
              <w:rPr>
                <w:rFonts w:ascii="Arial" w:eastAsia="Arial" w:hAnsi="Arial" w:cs="Arial"/>
                <w:sz w:val="18"/>
              </w:rPr>
              <w:t>Numer indentyfikacyjny REGON</w:t>
            </w:r>
          </w:p>
          <w:p w:rsidR="00E9663E" w:rsidRDefault="00B060EF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101744082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63E" w:rsidRDefault="00E9663E"/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E9663E"/>
        </w:tc>
      </w:tr>
      <w:tr w:rsidR="00E9663E">
        <w:trPr>
          <w:trHeight w:val="479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E9663E"/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ind w:left="45" w:right="5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Stan na koniec roku poprzedniego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E9663E" w:rsidRDefault="00B060E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Stan na koniec roku bieżącego</w:t>
            </w:r>
          </w:p>
        </w:tc>
      </w:tr>
      <w:tr w:rsidR="00E9663E">
        <w:trPr>
          <w:trHeight w:val="247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A.    Przychody netto z podstawowej działalności operacyjnej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570 325,19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597 744,60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I.    Przychody netto ze sprzedaży produktów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II.   Zmiana stanu produktów (zwiększenie - wartość dodatnia, zmniejszenie - wartość ujemna)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III.  Koszt wytworzenia produktów na własne potrzeby jednostki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IV.   Przychody netto ze sprzedaży towarów i materiałów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V.    Dotacje na finansowanie działalności podstawowej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VI.   Przychody z tytułu dochodów budżetowych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570 325,19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597 744,60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B.    Koszty działalności operacyjnej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7 828 587,42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8 487 293,21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I.    Amortyzacja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483 038,59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491 326,69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II.   Zużycie materiałów i energii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1 134 261,76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1 163 075,62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III.  Usługi obce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125 097,93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122 515,58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IV.   Podatki i opłaty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13 003,80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12 981,90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V.    Wynagrodzenia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4 885 757,61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5 376 500,18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VI.   Ubezpieczenia społeczne i inne świadczenia dla pracowników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1 185 275,73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1 318 150,24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VII.  Pozostałe koszty rodzajowe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1 312,00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1 512,00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VIII. Wartość sprzedanych towarów i materiałów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IX.   Inne świadczenia finansowane z budżetu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840,00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1 231,00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X.    Pozostałe obciążenia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C. Zysk (strata) z działalności podstawowej (A-B)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-7 258 262,23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-7 889 548,61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D.    Pozostałe przychody operacyjne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116 539,41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135 868,82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I.    Zysk ze zbycia niefinansowych aktywów trwałych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II.   Dotacje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III.  Inne przychody operacyjne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116 539,41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135 868,82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E.    Pozostałe koszty operacyjne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423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I.   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II.   Pozostałe koszty operacyjne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F.    Zysk (strata) z działalności operacyjnej (C+D-E)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-7 141 722,82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-7 753 679,79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G.    Przychody finansowe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252,11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316,26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I.    Dywidendy i udziały w zyskach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II.   Odsetki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252,11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316,26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III.  Inne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H.    Koszty finansowe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I.    Odsetki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II.   Inne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2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I. Zysk (strata) brutto (F+G-H)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-7 141 470,71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-7 753 363,53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J.    Podatek dochodowy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</w:tr>
      <w:tr w:rsidR="00E9663E">
        <w:trPr>
          <w:trHeight w:val="244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K.    Pozostałe obowiązkowe zmniejszenia zysku (zwiększenia straty)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15,31</w:t>
            </w:r>
          </w:p>
        </w:tc>
      </w:tr>
      <w:tr w:rsidR="00E9663E">
        <w:trPr>
          <w:trHeight w:val="246"/>
        </w:trPr>
        <w:tc>
          <w:tcPr>
            <w:tcW w:w="7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L.    Zysk (strata) netto (I-J-K)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-7 141 470,71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E9663E" w:rsidRDefault="00B060EF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-7 753 378,84</w:t>
            </w:r>
          </w:p>
        </w:tc>
      </w:tr>
    </w:tbl>
    <w:p w:rsidR="00E9663E" w:rsidRDefault="00B060EF">
      <w:pPr>
        <w:tabs>
          <w:tab w:val="center" w:pos="1476"/>
          <w:tab w:val="center" w:pos="4349"/>
          <w:tab w:val="right" w:pos="9926"/>
        </w:tabs>
        <w:spacing w:after="61"/>
      </w:pPr>
      <w:r>
        <w:tab/>
      </w:r>
      <w:r>
        <w:rPr>
          <w:rFonts w:ascii="Arial" w:eastAsia="Arial" w:hAnsi="Arial" w:cs="Arial"/>
          <w:sz w:val="17"/>
        </w:rPr>
        <w:t>..Katarzyna Pietruszka</w:t>
      </w:r>
      <w:r>
        <w:rPr>
          <w:rFonts w:ascii="Arial" w:eastAsia="Arial" w:hAnsi="Arial" w:cs="Arial"/>
          <w:sz w:val="17"/>
        </w:rPr>
        <w:t>.............</w:t>
      </w:r>
      <w:r>
        <w:rPr>
          <w:rFonts w:ascii="Arial" w:eastAsia="Arial" w:hAnsi="Arial" w:cs="Arial"/>
          <w:sz w:val="17"/>
        </w:rPr>
        <w:tab/>
        <w:t>............07-03-2019</w:t>
      </w:r>
      <w:r>
        <w:rPr>
          <w:rFonts w:ascii="Arial" w:eastAsia="Arial" w:hAnsi="Arial" w:cs="Arial"/>
          <w:sz w:val="17"/>
        </w:rPr>
        <w:t>........</w:t>
      </w:r>
      <w:r>
        <w:rPr>
          <w:rFonts w:ascii="Arial" w:eastAsia="Arial" w:hAnsi="Arial" w:cs="Arial"/>
          <w:sz w:val="17"/>
        </w:rPr>
        <w:tab/>
        <w:t>............................mgr Wisława Sobczyk</w:t>
      </w:r>
      <w:bookmarkStart w:id="0" w:name="_GoBack"/>
      <w:bookmarkEnd w:id="0"/>
      <w:r>
        <w:rPr>
          <w:rFonts w:ascii="Arial" w:eastAsia="Arial" w:hAnsi="Arial" w:cs="Arial"/>
          <w:sz w:val="17"/>
        </w:rPr>
        <w:t>.....</w:t>
      </w:r>
    </w:p>
    <w:p w:rsidR="00E9663E" w:rsidRDefault="00B060EF">
      <w:pPr>
        <w:tabs>
          <w:tab w:val="center" w:pos="1479"/>
          <w:tab w:val="center" w:pos="4351"/>
          <w:tab w:val="center" w:pos="7905"/>
        </w:tabs>
        <w:spacing w:after="2146"/>
      </w:pPr>
      <w:r>
        <w:tab/>
      </w:r>
      <w:r>
        <w:rPr>
          <w:rFonts w:ascii="Arial" w:eastAsia="Arial" w:hAnsi="Arial" w:cs="Arial"/>
          <w:sz w:val="17"/>
        </w:rPr>
        <w:t xml:space="preserve">     Główny księgowy</w:t>
      </w:r>
      <w:r>
        <w:rPr>
          <w:rFonts w:ascii="Arial" w:eastAsia="Arial" w:hAnsi="Arial" w:cs="Arial"/>
          <w:sz w:val="17"/>
        </w:rPr>
        <w:tab/>
        <w:t>rok, miesiąc, dzień</w:t>
      </w:r>
      <w:r>
        <w:rPr>
          <w:rFonts w:ascii="Arial" w:eastAsia="Arial" w:hAnsi="Arial" w:cs="Arial"/>
          <w:sz w:val="17"/>
        </w:rPr>
        <w:tab/>
        <w:t xml:space="preserve">             Kierownik jednostki</w:t>
      </w:r>
    </w:p>
    <w:p w:rsidR="00E9663E" w:rsidRDefault="00B060EF">
      <w:pPr>
        <w:tabs>
          <w:tab w:val="center" w:pos="5223"/>
        </w:tabs>
        <w:spacing w:after="0"/>
      </w:pPr>
      <w:r>
        <w:rPr>
          <w:rFonts w:ascii="Times New Roman" w:eastAsia="Times New Roman" w:hAnsi="Times New Roman" w:cs="Times New Roman"/>
          <w:sz w:val="11"/>
        </w:rPr>
        <w:lastRenderedPageBreak/>
        <w:t>2019-04-01  Sigma firmy VULCAN sp. z o.o.</w:t>
      </w:r>
      <w:r>
        <w:rPr>
          <w:rFonts w:ascii="Times New Roman" w:eastAsia="Times New Roman" w:hAnsi="Times New Roman" w:cs="Times New Roman"/>
          <w:sz w:val="11"/>
        </w:rPr>
        <w:tab/>
        <w:t>strona 1 z 1</w:t>
      </w:r>
    </w:p>
    <w:sectPr w:rsidR="00E9663E">
      <w:pgSz w:w="11900" w:h="16820"/>
      <w:pgMar w:top="571" w:right="1413" w:bottom="1440" w:left="5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E"/>
    <w:rsid w:val="00B060EF"/>
    <w:rsid w:val="00E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947A-2223-4AF3-B46A-DCA0BF29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2019-05-09T06:21:00Z</dcterms:created>
  <dcterms:modified xsi:type="dcterms:W3CDTF">2019-05-09T06:21:00Z</dcterms:modified>
</cp:coreProperties>
</file>