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93" w:type="dxa"/>
        <w:tblInd w:w="20" w:type="dxa"/>
        <w:tblCellMar>
          <w:top w:w="34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732"/>
        <w:gridCol w:w="1289"/>
        <w:gridCol w:w="1406"/>
        <w:gridCol w:w="62"/>
        <w:gridCol w:w="4768"/>
        <w:gridCol w:w="1285"/>
        <w:gridCol w:w="1351"/>
      </w:tblGrid>
      <w:tr w:rsidR="001B2E81">
        <w:trPr>
          <w:trHeight w:val="456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  <w:vAlign w:val="center"/>
          </w:tcPr>
          <w:p w:rsidR="001B2E81" w:rsidRDefault="000B5671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0"/>
              </w:rPr>
              <w:t>Aktywa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Stan na początek roku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489" w:hanging="416"/>
            </w:pPr>
            <w:r>
              <w:rPr>
                <w:b/>
              </w:rPr>
              <w:t>Stan na koniec roku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  <w:vAlign w:val="center"/>
          </w:tcPr>
          <w:p w:rsidR="001B2E81" w:rsidRDefault="000B5671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0"/>
              </w:rPr>
              <w:t>Pasywa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Stan na początek roku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Stan na koniec roku</w:t>
            </w:r>
          </w:p>
        </w:tc>
      </w:tr>
      <w:tr w:rsidR="001B2E81">
        <w:trPr>
          <w:trHeight w:val="275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rPr>
                <w:b/>
              </w:rPr>
              <w:t>A.    Aktywa trwałe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12 209 121,32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11 786 153,47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rPr>
                <w:b/>
              </w:rPr>
              <w:t>A.    Fundusze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11 608 693,81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11 097 820,63</w:t>
            </w: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rPr>
                <w:b/>
              </w:rPr>
              <w:t xml:space="preserve"> I.    Wartości niematerialne i prawne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I.    Fundusz jednostki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18 750 176,12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18 851 199,47</w:t>
            </w: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rPr>
                <w:b/>
              </w:rPr>
              <w:t xml:space="preserve"> II.   Rzeczowe aktywa trwałe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12 209 121,32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11 786 153,47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II.   Wynik finansowy netto (+,-)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-7 141 470,71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-7 753 378,84</w:t>
            </w:r>
          </w:p>
        </w:tc>
      </w:tr>
      <w:tr w:rsidR="001B2E81">
        <w:trPr>
          <w:trHeight w:val="270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1.    Środki trwałe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12 209 121,32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11 786 153,47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t xml:space="preserve">  1.    Zysk netto (+)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 1.1.  Grunty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t xml:space="preserve">  2.    Strata netto (-)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-7 141 470,71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-7 753 378,84</w:t>
            </w:r>
          </w:p>
        </w:tc>
      </w:tr>
      <w:tr w:rsidR="001B2E81">
        <w:trPr>
          <w:trHeight w:val="665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 1.1.1. Grunty stanowiące własność jednostki samorządu terytorialnego, przekazane w użytkowanie wieczyste innym podmiotom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III.   Odpisy z wyniku finansowego (nadwyżka środków obrotowych) (-)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-11,60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 1.2.  Budynki, lokale i obiekty inżynierii lądowej i wodnej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12 178 719,21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11 767 713,92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IV.   Fundusz mienia zlikwidowanych jednostek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270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 1.3.  Urządzenia techniczne i maszyny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15 959,45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12 984,50</w:t>
            </w:r>
          </w:p>
        </w:tc>
        <w:tc>
          <w:tcPr>
            <w:tcW w:w="62" w:type="dxa"/>
            <w:vMerge w:val="restart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47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firstLine="0"/>
            </w:pPr>
            <w:r>
              <w:rPr>
                <w:b/>
              </w:rPr>
              <w:t>B.    Fundusze placówek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274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 1.4.  Środki transportu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3 563,31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47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firstLine="0"/>
            </w:pPr>
            <w:r>
              <w:rPr>
                <w:b/>
              </w:rPr>
              <w:t>C.    Państwowe fundusze celowe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 1.5.  Inne środki trwałe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10 879,35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5 455,05</w:t>
            </w:r>
          </w:p>
        </w:tc>
        <w:tc>
          <w:tcPr>
            <w:tcW w:w="62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47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firstLine="0"/>
            </w:pPr>
            <w:r>
              <w:rPr>
                <w:b/>
              </w:rPr>
              <w:t>D.    Zobowiązania i rezerwy na zobowiązania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635 499,16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719 278,80</w:t>
            </w: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2.    Środki trwałe w budowie (inwestycje)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I.    Zobowiązania długoterminowe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270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3.    Zaliczki na środki trwałe w budowie (inwestycje)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II.   Zobowiązania krótkoterminowe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635 499,16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719 278,80</w:t>
            </w:r>
          </w:p>
        </w:tc>
      </w:tr>
      <w:tr w:rsidR="001B2E81">
        <w:trPr>
          <w:trHeight w:val="274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rPr>
                <w:b/>
              </w:rPr>
              <w:t xml:space="preserve"> III.  Należności długoterminowe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t xml:space="preserve">  1.    Zobowiązania z tytułu dostaw i usług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56 678,99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59 923,11</w:t>
            </w: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rPr>
                <w:b/>
              </w:rPr>
              <w:t xml:space="preserve"> IV.   Długoterminowe aktywa finansowe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t xml:space="preserve">  2.    Zobowiązania wobec budżetów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34 074,40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40 090,31</w:t>
            </w:r>
          </w:p>
        </w:tc>
      </w:tr>
      <w:tr w:rsidR="001B2E81">
        <w:trPr>
          <w:trHeight w:val="270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1.    Akcje i udziały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t xml:space="preserve">  3.    Zobowiązania z tytułu ubezpieczeń i innych świadczeń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192 895,38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229 421,02</w:t>
            </w: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2.    Inne papiery wartościowe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t xml:space="preserve">  4.    Zobowiązania z tytułu wynagrodzeń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349 700,39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383 179,06</w:t>
            </w: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3.    Inne długoterminowe aktywa finansowe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t xml:space="preserve">  5.    Pozostałe zobowiązania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2 150,00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6 665,30</w:t>
            </w:r>
          </w:p>
        </w:tc>
      </w:tr>
      <w:tr w:rsidR="001B2E81">
        <w:trPr>
          <w:trHeight w:val="467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rPr>
                <w:b/>
              </w:rPr>
              <w:t xml:space="preserve"> V.    Wartość mienia zlikwidowanych jednostek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t xml:space="preserve">  6.    Sumy obce (depozytowe, zabezpieczenie wykonania umów)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465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  <w:vAlign w:val="center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rPr>
                <w:b/>
              </w:rPr>
              <w:t>B.    Aktywa obrotowe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3D9"/>
            <w:vAlign w:val="center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35 071,65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7F3D9"/>
            <w:vAlign w:val="center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30 945,96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t xml:space="preserve">  7.    Rozliczenia z tytułu środków na wydatki budżetowe i z tytułu dochodów budżetowych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270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rPr>
                <w:b/>
              </w:rPr>
              <w:t xml:space="preserve"> I.    Zapasy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12 014,05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9 222,85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t xml:space="preserve">  8.   Fundusze specjalne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274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1.    Materiały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12 014,05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9 222,85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t xml:space="preserve">  8.1.   Zakładowy Fundusz Świadczeń Socjalnych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2.    Półprodukty i produkty w toku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t xml:space="preserve">  8.2.   Inne Fundusze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270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3.    Produkty gotowe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III.  Rezerwy na zobowiązania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4.    Towary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0,00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62" w:firstLine="0"/>
            </w:pPr>
            <w:r>
              <w:rPr>
                <w:b/>
              </w:rPr>
              <w:t xml:space="preserve"> IV.   Rozliczenia międzyokresowe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0,00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0,00</w:t>
            </w:r>
          </w:p>
        </w:tc>
      </w:tr>
      <w:tr w:rsidR="001B2E81">
        <w:trPr>
          <w:trHeight w:val="274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rPr>
                <w:b/>
              </w:rPr>
              <w:t xml:space="preserve"> II.   Należności krótkoterminowe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23 046,00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21 707,80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1.    Należności z tytułu dostaw i usług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23 046,00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21 707,80</w:t>
            </w:r>
          </w:p>
        </w:tc>
        <w:tc>
          <w:tcPr>
            <w:tcW w:w="483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582" w:tblpY="621"/>
        <w:tblOverlap w:val="never"/>
        <w:tblW w:w="14893" w:type="dxa"/>
        <w:tblInd w:w="0" w:type="dxa"/>
        <w:tblCellMar>
          <w:top w:w="36" w:type="dxa"/>
          <w:left w:w="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06"/>
        <w:gridCol w:w="5068"/>
        <w:gridCol w:w="5019"/>
      </w:tblGrid>
      <w:tr w:rsidR="001B2E81">
        <w:trPr>
          <w:trHeight w:val="299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2" w:firstLine="0"/>
            </w:pPr>
            <w:r>
              <w:lastRenderedPageBreak/>
              <w:t>Nazwa i adres jednostki sprawozdawczej</w:t>
            </w:r>
          </w:p>
        </w:tc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  <w:sz w:val="20"/>
              </w:rPr>
              <w:t>Bilans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firstLine="0"/>
            </w:pPr>
            <w:r>
              <w:t>Adresat</w:t>
            </w:r>
          </w:p>
        </w:tc>
      </w:tr>
      <w:tr w:rsidR="001B2E81">
        <w:trPr>
          <w:trHeight w:val="297"/>
        </w:trPr>
        <w:tc>
          <w:tcPr>
            <w:tcW w:w="4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2" w:firstLine="0"/>
            </w:pPr>
            <w:r>
              <w:t>Zespół Szkolno-Przedszkolny nr 2</w:t>
            </w:r>
          </w:p>
        </w:tc>
        <w:tc>
          <w:tcPr>
            <w:tcW w:w="5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107" w:firstLine="0"/>
              <w:jc w:val="center"/>
            </w:pPr>
            <w:r>
              <w:rPr>
                <w:sz w:val="20"/>
              </w:rPr>
              <w:t>jednostki budżetowej</w:t>
            </w:r>
          </w:p>
        </w:tc>
        <w:tc>
          <w:tcPr>
            <w:tcW w:w="50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firstLine="0"/>
            </w:pPr>
            <w:r>
              <w:t>Prezydent Miasta Łodzi</w:t>
            </w:r>
          </w:p>
        </w:tc>
      </w:tr>
      <w:tr w:rsidR="001B2E81">
        <w:trPr>
          <w:trHeight w:val="300"/>
        </w:trPr>
        <w:tc>
          <w:tcPr>
            <w:tcW w:w="48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2" w:firstLine="0"/>
            </w:pPr>
            <w:r>
              <w:t>Jugosłowiańska 2</w:t>
            </w:r>
          </w:p>
        </w:tc>
        <w:tc>
          <w:tcPr>
            <w:tcW w:w="50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107" w:firstLine="0"/>
              <w:jc w:val="center"/>
            </w:pPr>
            <w:r>
              <w:rPr>
                <w:sz w:val="20"/>
              </w:rPr>
              <w:t>lub samorządowego zakładu</w:t>
            </w:r>
          </w:p>
        </w:tc>
        <w:tc>
          <w:tcPr>
            <w:tcW w:w="50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firstLine="0"/>
            </w:pPr>
            <w:r>
              <w:t>90-926 Łódź</w:t>
            </w:r>
          </w:p>
        </w:tc>
      </w:tr>
      <w:tr w:rsidR="001B2E81">
        <w:trPr>
          <w:trHeight w:val="593"/>
        </w:trPr>
        <w:tc>
          <w:tcPr>
            <w:tcW w:w="4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2" w:firstLine="0"/>
            </w:pPr>
            <w:r>
              <w:t>92-720 Łódź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54" w:line="259" w:lineRule="auto"/>
              <w:ind w:left="107" w:firstLine="0"/>
              <w:jc w:val="center"/>
            </w:pPr>
            <w:r>
              <w:rPr>
                <w:sz w:val="20"/>
              </w:rPr>
              <w:t>budżetowego</w:t>
            </w:r>
          </w:p>
          <w:p w:rsidR="001B2E81" w:rsidRDefault="000B5671">
            <w:pPr>
              <w:spacing w:after="54" w:line="259" w:lineRule="auto"/>
              <w:ind w:left="107" w:firstLine="0"/>
              <w:jc w:val="center"/>
            </w:pPr>
            <w:r>
              <w:rPr>
                <w:sz w:val="20"/>
              </w:rPr>
              <w:t>sporządzony</w:t>
            </w:r>
          </w:p>
          <w:p w:rsidR="001B2E81" w:rsidRDefault="000B5671">
            <w:pPr>
              <w:spacing w:after="0" w:line="259" w:lineRule="auto"/>
              <w:ind w:left="107" w:firstLine="0"/>
              <w:jc w:val="center"/>
            </w:pPr>
            <w:r>
              <w:rPr>
                <w:sz w:val="20"/>
              </w:rPr>
              <w:t>na dzień 31.12.2018</w:t>
            </w:r>
          </w:p>
        </w:tc>
        <w:tc>
          <w:tcPr>
            <w:tcW w:w="50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firstLine="0"/>
            </w:pPr>
            <w:r>
              <w:t>ul. Piotrkowska 104</w:t>
            </w:r>
          </w:p>
        </w:tc>
      </w:tr>
      <w:tr w:rsidR="001B2E81">
        <w:trPr>
          <w:trHeight w:val="569"/>
        </w:trPr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65" w:line="259" w:lineRule="auto"/>
              <w:ind w:left="2" w:firstLine="0"/>
            </w:pPr>
            <w:r>
              <w:t>Numer indentyfikacyjny REGON</w:t>
            </w:r>
          </w:p>
          <w:p w:rsidR="001B2E81" w:rsidRDefault="000B5671">
            <w:pPr>
              <w:spacing w:after="0" w:line="259" w:lineRule="auto"/>
              <w:ind w:left="2" w:firstLine="0"/>
            </w:pPr>
            <w:r>
              <w:t>101744082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</w:tbl>
    <w:p w:rsidR="001B2E81" w:rsidRDefault="000B5671">
      <w:pPr>
        <w:ind w:left="-5"/>
      </w:pPr>
      <w:r>
        <w:rPr>
          <w:rFonts w:ascii="Times New Roman" w:eastAsia="Times New Roman" w:hAnsi="Times New Roman" w:cs="Times New Roman"/>
          <w:sz w:val="11"/>
        </w:rPr>
        <w:t>2019-04-01  Sigma firmy VULCAN sp. z o.o.</w:t>
      </w:r>
      <w:r>
        <w:rPr>
          <w:rFonts w:ascii="Times New Roman" w:eastAsia="Times New Roman" w:hAnsi="Times New Roman" w:cs="Times New Roman"/>
          <w:sz w:val="11"/>
        </w:rPr>
        <w:tab/>
        <w:t xml:space="preserve">strona 1 z 2 </w:t>
      </w:r>
    </w:p>
    <w:p w:rsidR="000B5671" w:rsidRDefault="000B5671">
      <w:pPr>
        <w:ind w:left="-5"/>
      </w:pPr>
    </w:p>
    <w:p w:rsidR="000B5671" w:rsidRDefault="000B5671" w:rsidP="000B5671">
      <w:pPr>
        <w:tabs>
          <w:tab w:val="left" w:pos="3840"/>
          <w:tab w:val="left" w:pos="7395"/>
        </w:tabs>
        <w:ind w:left="-5"/>
      </w:pPr>
      <w:r>
        <w:t>Katarzyna Pietruszka</w:t>
      </w:r>
      <w:r>
        <w:tab/>
        <w:t>07-03-2019</w:t>
      </w:r>
      <w:r>
        <w:tab/>
        <w:t>mgr Wiesława Sobczyk</w:t>
      </w:r>
    </w:p>
    <w:tbl>
      <w:tblPr>
        <w:tblStyle w:val="TableGrid"/>
        <w:tblpPr w:vertAnchor="page" w:horzAnchor="page" w:tblpX="582" w:tblpY="677"/>
        <w:tblOverlap w:val="never"/>
        <w:tblW w:w="14893" w:type="dxa"/>
        <w:tblInd w:w="0" w:type="dxa"/>
        <w:tblCellMar>
          <w:top w:w="34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4731"/>
        <w:gridCol w:w="1289"/>
        <w:gridCol w:w="1406"/>
        <w:gridCol w:w="62"/>
        <w:gridCol w:w="2016"/>
        <w:gridCol w:w="2753"/>
        <w:gridCol w:w="1285"/>
        <w:gridCol w:w="1351"/>
      </w:tblGrid>
      <w:tr w:rsidR="001B2E81">
        <w:trPr>
          <w:trHeight w:val="454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  <w:vAlign w:val="center"/>
          </w:tcPr>
          <w:p w:rsidR="001B2E81" w:rsidRDefault="000B567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0"/>
              </w:rPr>
              <w:t>Aktywa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Stan na początek roku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489" w:hanging="416"/>
            </w:pPr>
            <w:r>
              <w:rPr>
                <w:b/>
              </w:rPr>
              <w:t>Stan na koniec roku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DEA3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EA3"/>
            <w:vAlign w:val="center"/>
          </w:tcPr>
          <w:p w:rsidR="001B2E81" w:rsidRDefault="000B5671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Pasywa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Stan na początek roku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Stan na koniec roku</w:t>
            </w: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2.    Należności od budżetów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0,00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3.    Należności z tytułu ubezpieczeń i innych świadczeń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0,00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4.    Pozostałe należności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0,00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465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5.    Rozliczenia z tytułu środków na wydatki budżetowe i z tytułu dochodów budżetowych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0,00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rPr>
                <w:b/>
              </w:rPr>
              <w:t xml:space="preserve"> III. Krótkoterminowe aktywa finansowe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11,60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15,31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0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1.    Środki pieniężne w kasie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0,00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4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2.    Środki pieniężne na rachunkach bankowych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11,60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15,31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3.    Środki pieniężne państwowego funduszu celowego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0,00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0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4.    Inne środki pieniężne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0,00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4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5.    Akcje lub udziały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0,00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6.    Inne papiery wartościowe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0,00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0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t xml:space="preserve">  7.    Inne krótkoterminowe aktywa finansowe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0,00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4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rPr>
                <w:b/>
              </w:rPr>
              <w:t xml:space="preserve"> IV.   Rozliczenia międzyokresowe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0B5671">
            <w:pPr>
              <w:spacing w:after="0" w:line="259" w:lineRule="auto"/>
              <w:ind w:left="0" w:right="1" w:firstLine="0"/>
              <w:jc w:val="right"/>
            </w:pPr>
            <w: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B2E81" w:rsidRDefault="000B5671">
            <w:pPr>
              <w:spacing w:after="0" w:line="259" w:lineRule="auto"/>
              <w:ind w:left="0" w:right="58" w:firstLine="0"/>
              <w:jc w:val="right"/>
            </w:pPr>
            <w:r>
              <w:t>0,00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</w:tr>
      <w:tr w:rsidR="001B2E81">
        <w:trPr>
          <w:trHeight w:val="272"/>
        </w:trPr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9" w:firstLine="0"/>
            </w:pPr>
            <w:r>
              <w:rPr>
                <w:b/>
              </w:rPr>
              <w:t xml:space="preserve">      Suma aktywów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12 244 192,97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right="59" w:firstLine="0"/>
              <w:jc w:val="right"/>
            </w:pPr>
            <w:r>
              <w:t>11 817 099,43</w:t>
            </w:r>
          </w:p>
        </w:tc>
        <w:tc>
          <w:tcPr>
            <w:tcW w:w="62" w:type="dxa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20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Suma pasywów</w:t>
            </w: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1B2E81">
            <w:pPr>
              <w:spacing w:after="160" w:line="259" w:lineRule="auto"/>
              <w:ind w:left="0" w:firstLine="0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firstLine="0"/>
              <w:jc w:val="right"/>
            </w:pPr>
            <w:r>
              <w:t>12 244 192,97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EA3"/>
          </w:tcPr>
          <w:p w:rsidR="001B2E81" w:rsidRDefault="000B5671">
            <w:pPr>
              <w:spacing w:after="0" w:line="259" w:lineRule="auto"/>
              <w:ind w:left="0" w:right="2" w:firstLine="0"/>
              <w:jc w:val="right"/>
            </w:pPr>
            <w:r>
              <w:t>11 817 099,43</w:t>
            </w:r>
          </w:p>
        </w:tc>
      </w:tr>
    </w:tbl>
    <w:p w:rsidR="001B2E81" w:rsidRDefault="000B5671">
      <w:pPr>
        <w:tabs>
          <w:tab w:val="center" w:pos="1479"/>
          <w:tab w:val="center" w:pos="4351"/>
          <w:tab w:val="center" w:pos="7905"/>
        </w:tabs>
        <w:spacing w:after="465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Główny księgowy</w:t>
      </w:r>
      <w:r>
        <w:tab/>
        <w:t>rok, miesiąc, dzień</w:t>
      </w:r>
      <w:r>
        <w:tab/>
        <w:t xml:space="preserve">             Kierownik jednostki</w:t>
      </w:r>
    </w:p>
    <w:p w:rsidR="001B2E81" w:rsidRDefault="000B5671">
      <w:pPr>
        <w:tabs>
          <w:tab w:val="center" w:pos="7684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1"/>
        </w:rPr>
        <w:lastRenderedPageBreak/>
        <w:t>2019-04-01  Sigma firmy VULCAN sp. z o.o.</w:t>
      </w:r>
      <w:r>
        <w:rPr>
          <w:rFonts w:ascii="Times New Roman" w:eastAsia="Times New Roman" w:hAnsi="Times New Roman" w:cs="Times New Roman"/>
          <w:sz w:val="11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11"/>
        </w:rPr>
        <w:t>strona 2 z 2</w:t>
      </w:r>
    </w:p>
    <w:sectPr w:rsidR="001B2E81">
      <w:pgSz w:w="16820" w:h="11900" w:orient="landscape"/>
      <w:pgMar w:top="621" w:right="6333" w:bottom="562" w:left="5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81"/>
    <w:rsid w:val="000B5671"/>
    <w:rsid w:val="001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1B5F7-F53D-4402-8F82-5BA1F12F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6" w:line="265" w:lineRule="auto"/>
      <w:ind w:left="10" w:hanging="10"/>
    </w:pPr>
    <w:rPr>
      <w:rFonts w:ascii="Arial" w:eastAsia="Arial" w:hAnsi="Arial" w:cs="Arial"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2019-05-09T06:18:00Z</dcterms:created>
  <dcterms:modified xsi:type="dcterms:W3CDTF">2019-05-09T06:18:00Z</dcterms:modified>
</cp:coreProperties>
</file>